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ind w:left="1193" w:right="1159" w:firstLine="0"/>
        <w:jc w:val="center"/>
        <w:rPr>
          <w:sz w:val="24"/>
          <w:szCs w:val="24"/>
          <w:u w:val="single"/>
        </w:rPr>
      </w:pPr>
      <w:r w:rsidDel="00000000" w:rsidR="00000000" w:rsidRPr="00000000">
        <w:rPr>
          <w:sz w:val="24"/>
          <w:szCs w:val="24"/>
          <w:u w:val="single"/>
          <w:rtl w:val="0"/>
        </w:rPr>
        <w:t xml:space="preserve">LAWYER REFERRAL CONSULTANT</w:t>
      </w:r>
    </w:p>
    <w:p w:rsidR="00000000" w:rsidDel="00000000" w:rsidP="00000000" w:rsidRDefault="00000000" w:rsidRPr="00000000" w14:paraId="00000002">
      <w:pPr>
        <w:pStyle w:val="Heading2"/>
        <w:ind w:left="1193" w:right="1159" w:firstLine="0"/>
        <w:jc w:val="center"/>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sz w:val="24"/>
          <w:szCs w:val="24"/>
          <w:u w:val="single"/>
          <w:rtl w:val="0"/>
        </w:rPr>
        <w:t xml:space="preserve"> APPLICATION INSTRUCTIONS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Before engaging in the capacity of </w:t>
      </w:r>
      <w:r w:rsidDel="00000000" w:rsidR="00000000" w:rsidRPr="00000000">
        <w:rPr>
          <w:rFonts w:ascii="Times New Roman" w:cs="Times New Roman" w:eastAsia="Times New Roman" w:hAnsi="Times New Roman"/>
          <w:color w:val="c00000"/>
          <w:sz w:val="24"/>
          <w:szCs w:val="24"/>
          <w:rtl w:val="0"/>
        </w:rPr>
        <w:t xml:space="preserve">a lawyer referral consultant, </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a person must register with the Utah Division of Consumer Protection. Utah Code § 13-</w:t>
      </w:r>
      <w:r w:rsidDel="00000000" w:rsidR="00000000" w:rsidRPr="00000000">
        <w:rPr>
          <w:rFonts w:ascii="Times New Roman" w:cs="Times New Roman" w:eastAsia="Times New Roman" w:hAnsi="Times New Roman"/>
          <w:color w:val="c00000"/>
          <w:sz w:val="24"/>
          <w:szCs w:val="24"/>
          <w:rtl w:val="0"/>
        </w:rPr>
        <w:t xml:space="preserve">68</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-101 </w:t>
      </w: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et seq</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This is a registration for an individual acting as a lawyer referral consultant. All documents and information submitted must be in the name of the individual registering as a la</w:t>
      </w:r>
      <w:r w:rsidDel="00000000" w:rsidR="00000000" w:rsidRPr="00000000">
        <w:rPr>
          <w:rFonts w:ascii="Times New Roman" w:cs="Times New Roman" w:eastAsia="Times New Roman" w:hAnsi="Times New Roman"/>
          <w:color w:val="c00000"/>
          <w:sz w:val="24"/>
          <w:szCs w:val="24"/>
          <w:rtl w:val="0"/>
        </w:rPr>
        <w:t xml:space="preserve">wyer referral </w:t>
      </w:r>
      <w:r w:rsidDel="00000000" w:rsidR="00000000" w:rsidRPr="00000000">
        <w:rPr>
          <w:rFonts w:ascii="Times New Roman" w:cs="Times New Roman" w:eastAsia="Times New Roman" w:hAnsi="Times New Roman"/>
          <w:b w:val="0"/>
          <w:i w:val="0"/>
          <w:smallCaps w:val="0"/>
          <w:strike w:val="0"/>
          <w:color w:val="c00000"/>
          <w:sz w:val="24"/>
          <w:szCs w:val="24"/>
          <w:u w:val="none"/>
          <w:shd w:fill="auto" w:val="clear"/>
          <w:vertAlign w:val="baseline"/>
          <w:rtl w:val="0"/>
        </w:rPr>
        <w:t xml:space="preserve">consultant and not in the name of a corporation, limited liability company, or other entity.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spacing w:before="83" w:lineRule="auto"/>
        <w:ind w:firstLine="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DOCUMENTS TO SUBMIT WITH THE REGISTRATION FORM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tabs>
          <w:tab w:val="left" w:leader="none" w:pos="422"/>
        </w:tabs>
        <w:spacing w:before="3" w:lineRule="auto"/>
        <w:ind w:left="180" w:firstLine="0"/>
        <w:rPr>
          <w:rFonts w:ascii="Times New Roman" w:cs="Times New Roman" w:eastAsia="Times New Roman" w:hAnsi="Times New Roman"/>
          <w:sz w:val="24"/>
          <w:szCs w:val="24"/>
        </w:rPr>
      </w:pPr>
      <w:sdt>
        <w:sdtPr>
          <w:tag w:val="goog_rdk_0"/>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ab/>
        <w:t xml:space="preserve"> A surety bond for $50,000, and accompanying power of attorney, or a $50,000 cash bond. (Utah Code § 13-68-204)</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2"/>
        </w:tabs>
        <w:spacing w:after="0" w:before="3"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Surety Bond Form</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2"/>
        </w:tabs>
        <w:spacing w:after="0" w:before="3"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Surety bond compliance is required for the entire duration of the registration effective dates.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2"/>
        </w:tabs>
        <w:spacing w:after="0" w:before="3"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tabs>
          <w:tab w:val="left" w:leader="none" w:pos="422"/>
        </w:tabs>
        <w:spacing w:before="3" w:lineRule="auto"/>
        <w:ind w:left="422" w:hanging="242"/>
        <w:rPr>
          <w:rFonts w:ascii="Times New Roman" w:cs="Times New Roman" w:eastAsia="Times New Roman" w:hAnsi="Times New Roman"/>
          <w:sz w:val="24"/>
          <w:szCs w:val="24"/>
        </w:rPr>
      </w:pPr>
      <w:sdt>
        <w:sdtPr>
          <w:tag w:val="goog_rdk_1"/>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ab/>
        <w:t xml:space="preserve"> A completed fingerprint card for the background check (</w:t>
      </w:r>
      <w:r w:rsidDel="00000000" w:rsidR="00000000" w:rsidRPr="00000000">
        <w:rPr>
          <w:rFonts w:ascii="Times New Roman" w:cs="Times New Roman" w:eastAsia="Times New Roman" w:hAnsi="Times New Roman"/>
          <w:color w:val="c00000"/>
          <w:sz w:val="24"/>
          <w:szCs w:val="24"/>
          <w:rtl w:val="0"/>
        </w:rPr>
        <w:t xml:space="preserve">Initial registration only</w:t>
      </w:r>
      <w:r w:rsidDel="00000000" w:rsidR="00000000" w:rsidRPr="00000000">
        <w:rPr>
          <w:rFonts w:ascii="Times New Roman" w:cs="Times New Roman" w:eastAsia="Times New Roman" w:hAnsi="Times New Roman"/>
          <w:sz w:val="24"/>
          <w:szCs w:val="24"/>
          <w:rtl w:val="0"/>
        </w:rPr>
        <w:t xml:space="preserve">.) (Utah Code § 13-68-203)</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63" w:hanging="360"/>
        <w:jc w:val="left"/>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complete the fingerprint card for the criminal background check, please go to your local police department or the Bureau of Criminal Investigation (BCI) located at 3888 West 5400 South, Taylorsville, UT 84118, and request to be fingerprinted. You are responsible for paying any fees associated with obtaining the fingerprint card.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Mail the completed fingerprint card to the Utah Division of Consumer Protection, 160 E. 300 S., PO Box 146704, Salt Lake City, UT 84114-6704.</w:t>
      </w:r>
      <w:r w:rsidDel="00000000" w:rsidR="00000000" w:rsidRPr="00000000">
        <w:rPr>
          <w:rFonts w:ascii="Times New Roman" w:cs="Times New Roman" w:eastAsia="Times New Roman" w:hAnsi="Times New Roman"/>
          <w:b w:val="1"/>
          <w:i w:val="0"/>
          <w:smallCaps w:val="0"/>
          <w:strike w:val="0"/>
          <w:color w:val="ed7d31"/>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63" w:hanging="360"/>
        <w:jc w:val="left"/>
        <w:rPr>
          <w:rFonts w:ascii="Times New Roman" w:cs="Times New Roman" w:eastAsia="Times New Roman" w:hAnsi="Times New Roman"/>
          <w:b w:val="0"/>
          <w:i w:val="0"/>
          <w:smallCaps w:val="0"/>
          <w:strike w:val="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Fingerprint Card Instructions</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63" w:firstLine="0"/>
        <w:jc w:val="left"/>
        <w:rPr>
          <w:rFonts w:ascii="Times New Roman" w:cs="Times New Roman" w:eastAsia="Times New Roman" w:hAnsi="Times New Roman"/>
          <w:color w:val="ed7d31"/>
          <w:sz w:val="24"/>
          <w:szCs w:val="24"/>
        </w:rPr>
      </w:pPr>
      <w:r w:rsidDel="00000000" w:rsidR="00000000" w:rsidRPr="00000000">
        <w:rPr>
          <w:rtl w:val="0"/>
        </w:rPr>
      </w:r>
    </w:p>
    <w:p w:rsidR="00000000" w:rsidDel="00000000" w:rsidP="00000000" w:rsidRDefault="00000000" w:rsidRPr="00000000" w14:paraId="00000011">
      <w:pPr>
        <w:tabs>
          <w:tab w:val="left" w:leader="none" w:pos="360"/>
        </w:tabs>
        <w:spacing w:before="3" w:lineRule="auto"/>
        <w:ind w:left="450" w:hanging="270"/>
        <w:rPr>
          <w:rFonts w:ascii="Times New Roman" w:cs="Times New Roman" w:eastAsia="Times New Roman" w:hAnsi="Times New Roman"/>
          <w:sz w:val="24"/>
          <w:szCs w:val="24"/>
        </w:rPr>
      </w:pPr>
      <w:sdt>
        <w:sdtPr>
          <w:tag w:val="goog_rdk_2"/>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A signed Utah Consent to Background Check waiver form (</w:t>
      </w:r>
      <w:r w:rsidDel="00000000" w:rsidR="00000000" w:rsidRPr="00000000">
        <w:rPr>
          <w:rFonts w:ascii="Times New Roman" w:cs="Times New Roman" w:eastAsia="Times New Roman" w:hAnsi="Times New Roman"/>
          <w:color w:val="c00000"/>
          <w:sz w:val="24"/>
          <w:szCs w:val="24"/>
          <w:rtl w:val="0"/>
        </w:rPr>
        <w:t xml:space="preserve">Initial registration only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3" w:line="240" w:lineRule="auto"/>
        <w:ind w:left="108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Background Check Consent Form</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360"/>
        </w:tabs>
        <w:spacing w:after="0" w:before="3" w:line="240" w:lineRule="auto"/>
        <w:ind w:left="108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ay $20.00 at the time of application for the cost of the background check.</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0"/>
        </w:tabs>
        <w:spacing w:after="0" w:before="3"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tabs>
          <w:tab w:val="left" w:leader="none" w:pos="422"/>
        </w:tabs>
        <w:spacing w:before="4" w:lineRule="auto"/>
        <w:ind w:left="450" w:hanging="270"/>
        <w:rPr>
          <w:rFonts w:ascii="Times New Roman" w:cs="Times New Roman" w:eastAsia="Times New Roman" w:hAnsi="Times New Roman"/>
          <w:sz w:val="24"/>
          <w:szCs w:val="24"/>
        </w:rPr>
      </w:pPr>
      <w:sdt>
        <w:sdtPr>
          <w:tag w:val="goog_rdk_3"/>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ab/>
        <w:t xml:space="preserve"> A copy of the notice to be displayed in the lawyer referral consultant’s office. (Utah Code § 13-68-303)</w:t>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in English; and</w:t>
      </w:r>
    </w:p>
    <w:p w:rsidR="00000000" w:rsidDel="00000000" w:rsidP="00000000" w:rsidRDefault="00000000" w:rsidRPr="00000000" w14:paraId="0000001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notice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native languages of your clients.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leader="none" w:pos="422"/>
        </w:tabs>
        <w:spacing w:before="4" w:lineRule="auto"/>
        <w:ind w:left="450" w:hanging="270"/>
        <w:rPr>
          <w:rFonts w:ascii="Times New Roman" w:cs="Times New Roman" w:eastAsia="Times New Roman" w:hAnsi="Times New Roman"/>
          <w:sz w:val="24"/>
          <w:szCs w:val="24"/>
        </w:rPr>
      </w:pPr>
      <w:sdt>
        <w:sdtPr>
          <w:tag w:val="goog_rdk_4"/>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A copy of the disclosure statement provided to the lawyer referral consultant’s clients. (Utah Code § 13-68-303)</w:t>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in English; and</w:t>
      </w:r>
    </w:p>
    <w:p w:rsidR="00000000" w:rsidDel="00000000" w:rsidP="00000000" w:rsidRDefault="00000000" w:rsidRPr="00000000" w14:paraId="0000001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disclosure statement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native languages of your clients.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leader="none" w:pos="360"/>
        </w:tabs>
        <w:ind w:left="180" w:firstLine="0"/>
        <w:rPr>
          <w:rFonts w:ascii="Times New Roman" w:cs="Times New Roman" w:eastAsia="Times New Roman" w:hAnsi="Times New Roman"/>
          <w:sz w:val="24"/>
          <w:szCs w:val="24"/>
        </w:rPr>
      </w:pPr>
      <w:sdt>
        <w:sdtPr>
          <w:tag w:val="goog_rdk_5"/>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Fonts w:ascii="Times New Roman" w:cs="Times New Roman" w:eastAsia="Times New Roman" w:hAnsi="Times New Roman"/>
          <w:sz w:val="24"/>
          <w:szCs w:val="24"/>
          <w:rtl w:val="0"/>
        </w:rPr>
        <w:t xml:space="preserve"> A copy of the contract that the lawyer referral consultant will use with clients. (Utah Code § </w:t>
        <w:tab/>
        <w:tab/>
        <w:t xml:space="preserve"> 13-68-301)</w:t>
      </w:r>
    </w:p>
    <w:p w:rsidR="00000000" w:rsidDel="00000000" w:rsidP="00000000" w:rsidRDefault="00000000" w:rsidRPr="00000000" w14:paraId="0000001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in English; and</w:t>
      </w:r>
    </w:p>
    <w:p w:rsidR="00000000" w:rsidDel="00000000" w:rsidP="00000000" w:rsidRDefault="00000000" w:rsidRPr="00000000" w14:paraId="0000001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leader="none" w:pos="422"/>
        </w:tabs>
        <w:spacing w:after="0" w:before="4" w:line="240" w:lineRule="auto"/>
        <w:ind w:left="1410" w:right="0" w:hanging="284.0000000000000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copy of the contract in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the native languages of your clients.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1"/>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INFORMATION REQUIRED TO BE INCLUDED WITH THE FOLLOWING DOCUMENTS: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c00000"/>
          <w:sz w:val="24"/>
          <w:szCs w:val="24"/>
          <w:rtl w:val="0"/>
        </w:rPr>
        <w:t xml:space="preserve">(</w:t>
      </w:r>
      <w:r w:rsidDel="00000000" w:rsidR="00000000" w:rsidRPr="00000000">
        <w:rPr>
          <w:rFonts w:ascii="Times New Roman" w:cs="Times New Roman" w:eastAsia="Times New Roman" w:hAnsi="Times New Roman"/>
          <w:b w:val="1"/>
          <w:i w:val="0"/>
          <w:smallCaps w:val="0"/>
          <w:strike w:val="0"/>
          <w:color w:val="c00000"/>
          <w:sz w:val="24"/>
          <w:szCs w:val="24"/>
          <w:u w:val="none"/>
          <w:shd w:fill="auto" w:val="clear"/>
          <w:vertAlign w:val="baseline"/>
          <w:rtl w:val="0"/>
        </w:rPr>
        <w:t xml:space="preserve">Submitting documents without the required information identified below may result in delayed processing or denial of the application.)</w:t>
      </w:r>
    </w:p>
    <w:p w:rsidR="00000000" w:rsidDel="00000000" w:rsidP="00000000" w:rsidRDefault="00000000" w:rsidRPr="00000000" w14:paraId="00000021">
      <w:pPr>
        <w:pStyle w:val="Heading3"/>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Style w:val="Heading3"/>
        <w:ind w:left="1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Notice to be displayed in the lawyer referral consultant’s office must be conspicuously displayed in the consultant’s office and include the following: </w:t>
      </w:r>
      <w:r w:rsidDel="00000000" w:rsidR="00000000" w:rsidRPr="00000000">
        <w:rPr>
          <w:rFonts w:ascii="Times New Roman" w:cs="Times New Roman" w:eastAsia="Times New Roman" w:hAnsi="Times New Roman"/>
          <w:b w:val="0"/>
          <w:sz w:val="24"/>
          <w:szCs w:val="24"/>
          <w:rtl w:val="0"/>
        </w:rPr>
        <w:t xml:space="preserve">(Utah Code § 13-68-303)</w:t>
      </w:r>
      <w:r w:rsidDel="00000000" w:rsidR="00000000" w:rsidRPr="00000000">
        <w:rPr>
          <w:rtl w:val="0"/>
        </w:rPr>
      </w:r>
    </w:p>
    <w:tbl>
      <w:tblPr>
        <w:tblStyle w:val="Table1"/>
        <w:tblW w:w="9515.0" w:type="dxa"/>
        <w:jc w:val="left"/>
        <w:tblInd w:w="205.0" w:type="dxa"/>
        <w:tblLayout w:type="fixed"/>
        <w:tblLook w:val="0000"/>
      </w:tblPr>
      <w:tblGrid>
        <w:gridCol w:w="9515"/>
        <w:tblGridChange w:id="0">
          <w:tblGrid>
            <w:gridCol w:w="9515"/>
          </w:tblGrid>
        </w:tblGridChange>
      </w:tblGrid>
      <w:tr>
        <w:trPr>
          <w:cantSplit w:val="0"/>
          <w:trHeight w:val="266"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13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3"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Shall be at least 12 by 20 inches;</w:t>
            </w:r>
          </w:p>
        </w:tc>
      </w:tr>
      <w:tr>
        <w:trPr>
          <w:cantSplit w:val="0"/>
          <w:trHeight w:val="284" w:hRule="atLeast"/>
          <w:tblHeader w:val="0"/>
        </w:trPr>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0" w:lineRule="auto"/>
              <w:ind w:left="0" w:right="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Boldface type or print;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50" w:lineRule="auto"/>
              <w:ind w:left="0" w:right="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character at least one inch in height and width; and include:</w:t>
            </w:r>
          </w:p>
        </w:tc>
      </w:tr>
      <w:tr>
        <w:trPr>
          <w:cantSplit w:val="0"/>
          <w:trHeight w:val="266" w:hRule="atLeast"/>
          <w:tblHeader w:val="0"/>
        </w:trPr>
        <w:tc>
          <w:tcPr/>
          <w:p w:rsidR="00000000" w:rsidDel="00000000" w:rsidP="00000000" w:rsidRDefault="00000000" w:rsidRPr="00000000" w14:paraId="0000002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5" w:line="231" w:lineRule="auto"/>
              <w:ind w:left="1080" w:right="5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consultant’s full name and address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5" w:line="231" w:lineRule="auto"/>
              <w:ind w:left="1080" w:right="5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name of the company issuing the surety bond and bond number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5" w:line="231" w:lineRule="auto"/>
              <w:ind w:left="1080" w:right="5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statement that the </w:t>
            </w:r>
            <w:r w:rsidDel="00000000" w:rsidR="00000000" w:rsidRPr="00000000">
              <w:rPr>
                <w:rFonts w:ascii="Times New Roman" w:cs="Times New Roman" w:eastAsia="Times New Roman" w:hAnsi="Times New Roman"/>
                <w:sz w:val="24"/>
                <w:szCs w:val="24"/>
                <w:rtl w:val="0"/>
              </w:rPr>
              <w:t xml:space="preserve">lawyer 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 is not an attorney</w:t>
            </w:r>
            <w:r w:rsidDel="00000000" w:rsidR="00000000" w:rsidRPr="00000000">
              <w:rPr>
                <w:rFonts w:ascii="Times New Roman" w:cs="Times New Roman" w:eastAsia="Times New Roman" w:hAnsi="Times New Roman"/>
                <w:sz w:val="24"/>
                <w:szCs w:val="24"/>
                <w:rtl w:val="0"/>
              </w:rPr>
              <w:t xml:space="preserve">; and</w:t>
            </w: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5" w:line="231" w:lineRule="auto"/>
              <w:ind w:left="1080" w:right="5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name of each lawyer referral consultant employed at each location.</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8" w:before="1" w:line="240" w:lineRule="auto"/>
        <w:ind w:left="0" w:right="379"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spacing w:after="9" w:lineRule="auto"/>
        <w:ind w:left="140" w:right="44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written disclosure provided to the lawyer referral consultant’s clients must include the following: </w:t>
      </w:r>
      <w:r w:rsidDel="00000000" w:rsidR="00000000" w:rsidRPr="00000000">
        <w:rPr>
          <w:rFonts w:ascii="Times New Roman" w:cs="Times New Roman" w:eastAsia="Times New Roman" w:hAnsi="Times New Roman"/>
          <w:sz w:val="24"/>
          <w:szCs w:val="24"/>
          <w:rtl w:val="0"/>
        </w:rPr>
        <w:t xml:space="preserve">(Utah Code § 13-68-303)</w:t>
      </w:r>
      <w:r w:rsidDel="00000000" w:rsidR="00000000" w:rsidRPr="00000000">
        <w:rPr>
          <w:rtl w:val="0"/>
        </w:rPr>
      </w:r>
    </w:p>
    <w:p w:rsidR="00000000" w:rsidDel="00000000" w:rsidP="00000000" w:rsidRDefault="00000000" w:rsidRPr="00000000" w14:paraId="0000002D">
      <w:pPr>
        <w:spacing w:after="9" w:lineRule="auto"/>
        <w:ind w:left="140" w:right="446" w:firstLine="0"/>
        <w:rPr>
          <w:rFonts w:ascii="Times New Roman" w:cs="Times New Roman" w:eastAsia="Times New Roman" w:hAnsi="Times New Roman"/>
          <w:sz w:val="24"/>
          <w:szCs w:val="24"/>
        </w:rPr>
      </w:pPr>
      <w:r w:rsidDel="00000000" w:rsidR="00000000" w:rsidRPr="00000000">
        <w:rPr>
          <w:rtl w:val="0"/>
        </w:rPr>
      </w:r>
    </w:p>
    <w:tbl>
      <w:tblPr>
        <w:tblStyle w:val="Table2"/>
        <w:tblW w:w="10530.0" w:type="dxa"/>
        <w:jc w:val="left"/>
        <w:tblInd w:w="90.0" w:type="dxa"/>
        <w:tblLayout w:type="fixed"/>
        <w:tblLook w:val="0000"/>
      </w:tblPr>
      <w:tblGrid>
        <w:gridCol w:w="335"/>
        <w:gridCol w:w="10195"/>
        <w:tblGridChange w:id="0">
          <w:tblGrid>
            <w:gridCol w:w="335"/>
            <w:gridCol w:w="10195"/>
          </w:tblGrid>
        </w:tblGridChange>
      </w:tblGrid>
      <w:tr>
        <w:trPr>
          <w:cantSplit w:val="0"/>
          <w:trHeight w:val="266" w:hRule="atLeast"/>
          <w:tblHeader w:val="0"/>
        </w:trPr>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lawyer referral consultant’s name, address, and telephone number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lawyer referral consultant’s agent for service of process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2"/>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name of the company issuing the surety bond and bond number</w:t>
            </w:r>
            <w:r w:rsidDel="00000000" w:rsidR="00000000" w:rsidRPr="00000000">
              <w:rPr>
                <w:rFonts w:ascii="Times New Roman" w:cs="Times New Roman" w:eastAsia="Times New Roman" w:hAnsi="Times New Roman"/>
                <w:sz w:val="24"/>
                <w:szCs w:val="24"/>
                <w:rtl w:val="0"/>
              </w:rPr>
              <w:t xml:space="preserve">; and</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list of the services the </w:t>
            </w:r>
            <w:r w:rsidDel="00000000" w:rsidR="00000000" w:rsidRPr="00000000">
              <w:rPr>
                <w:rFonts w:ascii="Times New Roman" w:cs="Times New Roman" w:eastAsia="Times New Roman" w:hAnsi="Times New Roman"/>
                <w:sz w:val="24"/>
                <w:szCs w:val="24"/>
                <w:rtl w:val="0"/>
              </w:rPr>
              <w:t xml:space="preserve">lawyer referral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consultant provides, and the current and total fee for each service.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0" w:hRule="atLeast"/>
          <w:tblHeader w:val="0"/>
        </w:trPr>
        <w:tc>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2.00000000000003" w:lineRule="auto"/>
              <w:ind w:left="770" w:right="590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w:t>
            </w:r>
          </w:p>
          <w:tbl>
            <w:tblPr>
              <w:tblStyle w:val="Table3"/>
              <w:tblW w:w="8100.0" w:type="dxa"/>
              <w:jc w:val="left"/>
              <w:tblInd w:w="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890"/>
              <w:gridCol w:w="1530"/>
              <w:gridCol w:w="1440"/>
              <w:gridCol w:w="1260"/>
              <w:tblGridChange w:id="0">
                <w:tblGrid>
                  <w:gridCol w:w="1980"/>
                  <w:gridCol w:w="1890"/>
                  <w:gridCol w:w="1530"/>
                  <w:gridCol w:w="1440"/>
                  <w:gridCol w:w="1260"/>
                </w:tblGrid>
              </w:tblGridChange>
            </w:tblGrid>
            <w:tr>
              <w:trPr>
                <w:cantSplit w:val="0"/>
                <w:trHeight w:val="459" w:hRule="atLeast"/>
                <w:tblHeader w:val="0"/>
              </w:trPr>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 # </w:t>
                  </w:r>
                </w:p>
              </w:tc>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Price/Fee</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costs</w:t>
                  </w:r>
                </w:p>
              </w:tc>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 Fee</w:t>
                  </w:r>
                </w:p>
              </w:tc>
            </w:tr>
            <w:tr>
              <w:trPr>
                <w:cantSplit w:val="0"/>
                <w:trHeight w:val="229" w:hRule="atLeast"/>
                <w:tblHeader w:val="0"/>
              </w:trPr>
              <w:tc>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229" w:hRule="atLeast"/>
                <w:tblHeader w:val="0"/>
              </w:trPr>
              <w:tc>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29" w:hRule="atLeast"/>
                <w:tblHeader w:val="0"/>
              </w:trPr>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55" w:hRule="atLeast"/>
          <w:tblHeader w:val="0"/>
        </w:trPr>
        <w:tc>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5906"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that the lawyer referral consultant obtained the client’s signature verifying that the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received the written disclosures before a service is provided.</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0" w:right="144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  “ I _____________</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verify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I have received t</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written disclosures before receiving services from ____________, my lawyer referral consultant.” Dated [day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[month], [year], __________________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 of client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55">
      <w:pPr>
        <w:spacing w:after="9" w:lineRule="auto"/>
        <w:ind w:left="0" w:right="446"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9" w:lineRule="auto"/>
        <w:ind w:left="140" w:right="44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Contract Must Include the Following: </w:t>
      </w:r>
      <w:r w:rsidDel="00000000" w:rsidR="00000000" w:rsidRPr="00000000">
        <w:rPr>
          <w:rFonts w:ascii="Times New Roman" w:cs="Times New Roman" w:eastAsia="Times New Roman" w:hAnsi="Times New Roman"/>
          <w:sz w:val="24"/>
          <w:szCs w:val="24"/>
          <w:rtl w:val="0"/>
        </w:rPr>
        <w:t xml:space="preserve">(Utah Code § 13-68-301)</w:t>
      </w:r>
    </w:p>
    <w:p w:rsidR="00000000" w:rsidDel="00000000" w:rsidP="00000000" w:rsidRDefault="00000000" w:rsidRPr="00000000" w14:paraId="00000057">
      <w:pPr>
        <w:spacing w:after="9" w:lineRule="auto"/>
        <w:ind w:left="140" w:right="446" w:firstLine="0"/>
        <w:rPr>
          <w:rFonts w:ascii="Times New Roman" w:cs="Times New Roman" w:eastAsia="Times New Roman" w:hAnsi="Times New Roman"/>
          <w:sz w:val="24"/>
          <w:szCs w:val="24"/>
        </w:rPr>
      </w:pPr>
      <w:r w:rsidDel="00000000" w:rsidR="00000000" w:rsidRPr="00000000">
        <w:rPr>
          <w:rtl w:val="0"/>
        </w:rPr>
      </w:r>
    </w:p>
    <w:tbl>
      <w:tblPr>
        <w:tblStyle w:val="Table4"/>
        <w:tblW w:w="9630.0" w:type="dxa"/>
        <w:jc w:val="left"/>
        <w:tblInd w:w="180.0" w:type="dxa"/>
        <w:tblLayout w:type="fixed"/>
        <w:tblLook w:val="0000"/>
      </w:tblPr>
      <w:tblGrid>
        <w:gridCol w:w="360"/>
        <w:gridCol w:w="8370"/>
        <w:gridCol w:w="900"/>
        <w:tblGridChange w:id="0">
          <w:tblGrid>
            <w:gridCol w:w="360"/>
            <w:gridCol w:w="8370"/>
            <w:gridCol w:w="900"/>
          </w:tblGrid>
        </w:tblGridChange>
      </w:tblGrid>
      <w:tr>
        <w:trPr>
          <w:cantSplit w:val="0"/>
          <w:trHeight w:val="266"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provision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boldface type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of the contract, that states:</w:t>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6.99999999999994" w:lineRule="auto"/>
              <w:ind w:left="1080" w:right="0" w:hanging="360"/>
              <w:jc w:val="left"/>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 may cancel this contract on or before midnight of the third business day after execution of the written contract.  This excludes weekends, state holidays, and federal holidays.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108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6.99999999999994"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statement provision in no less than 10 point font, in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boldface type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states:</w:t>
            </w:r>
          </w:p>
          <w:p w:rsidR="00000000" w:rsidDel="00000000" w:rsidP="00000000" w:rsidRDefault="00000000" w:rsidRPr="00000000" w14:paraId="0000005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2" w:line="240" w:lineRule="auto"/>
              <w:ind w:left="1080" w:right="0" w:hanging="36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lawyer referral consultant is not an attorney and may not perform the legal services that an attorney performs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08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purpose for which the lawyer </w:t>
            </w:r>
            <w:r w:rsidDel="00000000" w:rsidR="00000000" w:rsidRPr="00000000">
              <w:rPr>
                <w:rFonts w:ascii="Times New Roman" w:cs="Times New Roman" w:eastAsia="Times New Roman" w:hAnsi="Times New Roman"/>
                <w:sz w:val="24"/>
                <w:szCs w:val="24"/>
                <w:rtl w:val="0"/>
              </w:rPr>
              <w:t xml:space="preserve">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 has been hired.</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one or more services to be performed and price for each service.</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830"/>
              </w:tabs>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Example:</w:t>
            </w:r>
          </w:p>
          <w:tbl>
            <w:tblPr>
              <w:tblStyle w:val="Table5"/>
              <w:tblW w:w="80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5"/>
              <w:gridCol w:w="4410"/>
              <w:gridCol w:w="2340"/>
              <w:tblGridChange w:id="0">
                <w:tblGrid>
                  <w:gridCol w:w="1255"/>
                  <w:gridCol w:w="4410"/>
                  <w:gridCol w:w="2340"/>
                </w:tblGrid>
              </w:tblGridChange>
            </w:tblGrid>
            <w:tr>
              <w:trPr>
                <w:cantSplit w:val="0"/>
                <w:tblHeader w:val="0"/>
              </w:trPr>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To Perform</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Price</w:t>
                  </w:r>
                </w:p>
              </w:tc>
            </w:tr>
            <w:tr>
              <w:trPr>
                <w:cantSplit w:val="0"/>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[Service #1]</w:t>
                  </w:r>
                  <w:r w:rsidDel="00000000" w:rsidR="00000000" w:rsidRPr="00000000">
                    <w:rPr>
                      <w:rtl w:val="0"/>
                    </w:rPr>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02"/>
                    </w:tabs>
                    <w:spacing w:after="0" w:before="0" w:line="252.00000000000003" w:lineRule="auto"/>
                    <w:ind w:left="0" w:right="-15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#2]</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blHeader w:val="0"/>
              </w:trPr>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#3]</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5" w:hRule="atLeast"/>
          <w:tblHeader w:val="0"/>
        </w:trPr>
        <w:tc>
          <w:tcPr/>
          <w:p w:rsidR="00000000" w:rsidDel="00000000" w:rsidP="00000000" w:rsidRDefault="00000000" w:rsidRPr="00000000" w14:paraId="00000077">
            <w:pPr>
              <w:spacing w:before="12" w:lineRule="auto"/>
              <w:ind w:left="50" w:right="5906" w:firstLine="0"/>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8"/>
              </w:sdtPr>
              <w:sdtContent>
                <w:r w:rsidDel="00000000" w:rsidR="00000000" w:rsidRPr="00000000">
                  <w:rPr>
                    <w:rFonts w:ascii="Arial Unicode MS" w:cs="Arial Unicode MS" w:eastAsia="Arial Unicode MS" w:hAnsi="Arial Unicode MS"/>
                    <w:sz w:val="24"/>
                    <w:szCs w:val="24"/>
                    <w:rtl w:val="0"/>
                  </w:rPr>
                  <w:t xml:space="preserve">☐</w:t>
                </w:r>
              </w:sdtContent>
            </w:sdt>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provision stating, “You may report complaints related to</w:t>
            </w:r>
            <w:r w:rsidDel="00000000" w:rsidR="00000000" w:rsidRPr="00000000">
              <w:rPr>
                <w:rFonts w:ascii="Times New Roman" w:cs="Times New Roman" w:eastAsia="Times New Roman" w:hAnsi="Times New Roman"/>
                <w:sz w:val="24"/>
                <w:szCs w:val="24"/>
                <w:rtl w:val="0"/>
              </w:rPr>
              <w:t xml:space="preserve"> a lawyer referral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consultant to the Division of Consumer Protection, by calling toll-free at 1(800) 721-7233 or online at </w:t>
            </w: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https://dcp.utah.gov</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r>
        <w:trPr>
          <w:cantSplit w:val="0"/>
          <w:trHeight w:val="755"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19"/>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50" w:right="5906"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provision that states, “Any complaints concerning the unauthorized practice of law may be reported to the Utah State Bar, by calling (801) 531-9077 or online at </w:t>
            </w:r>
            <w:hyperlink r:id="rId11">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www.utahbar.org</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540" w:right="360" w:hanging="358"/>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  </w:t>
          </w:r>
        </w:sdtContent>
      </w:sd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signature line for both the client and</w:t>
      </w:r>
      <w:r w:rsidDel="00000000" w:rsidR="00000000" w:rsidRPr="00000000">
        <w:rPr>
          <w:rFonts w:ascii="Times New Roman" w:cs="Times New Roman" w:eastAsia="Times New Roman" w:hAnsi="Times New Roman"/>
          <w:sz w:val="24"/>
          <w:szCs w:val="24"/>
          <w:rtl w:val="0"/>
        </w:rPr>
        <w:t xml:space="preserve"> lawyer referral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consultant to sign and date the   contract.</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770" w:hanging="360"/>
      </w:pPr>
      <w:rPr>
        <w:rFonts w:ascii="MS Gothic" w:cs="MS Gothic" w:eastAsia="MS Gothic" w:hAnsi="MS Gothic"/>
        <w:b w:val="0"/>
        <w:i w:val="0"/>
        <w:sz w:val="22"/>
        <w:szCs w:val="22"/>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3">
    <w:lvl w:ilvl="0">
      <w:start w:val="0"/>
      <w:numFmt w:val="bullet"/>
      <w:lvlText w:val="☐"/>
      <w:lvlJc w:val="left"/>
      <w:pPr>
        <w:ind w:left="464" w:hanging="284"/>
      </w:pPr>
      <w:rPr>
        <w:rFonts w:ascii="MS Gothic" w:cs="MS Gothic" w:eastAsia="MS Gothic" w:hAnsi="MS Gothic"/>
        <w:b w:val="0"/>
        <w:i w:val="0"/>
        <w:sz w:val="22"/>
        <w:szCs w:val="22"/>
      </w:rPr>
    </w:lvl>
    <w:lvl w:ilvl="1">
      <w:start w:val="0"/>
      <w:numFmt w:val="bullet"/>
      <w:lvlText w:val="•"/>
      <w:lvlJc w:val="left"/>
      <w:pPr>
        <w:ind w:left="1410" w:hanging="284"/>
      </w:pPr>
      <w:rPr/>
    </w:lvl>
    <w:lvl w:ilvl="2">
      <w:start w:val="0"/>
      <w:numFmt w:val="bullet"/>
      <w:lvlText w:val="•"/>
      <w:lvlJc w:val="left"/>
      <w:pPr>
        <w:ind w:left="2356" w:hanging="284"/>
      </w:pPr>
      <w:rPr/>
    </w:lvl>
    <w:lvl w:ilvl="3">
      <w:start w:val="0"/>
      <w:numFmt w:val="bullet"/>
      <w:lvlText w:val="•"/>
      <w:lvlJc w:val="left"/>
      <w:pPr>
        <w:ind w:left="3302" w:hanging="284"/>
      </w:pPr>
      <w:rPr/>
    </w:lvl>
    <w:lvl w:ilvl="4">
      <w:start w:val="0"/>
      <w:numFmt w:val="bullet"/>
      <w:lvlText w:val="•"/>
      <w:lvlJc w:val="left"/>
      <w:pPr>
        <w:ind w:left="4248" w:hanging="283.99999999999955"/>
      </w:pPr>
      <w:rPr/>
    </w:lvl>
    <w:lvl w:ilvl="5">
      <w:start w:val="0"/>
      <w:numFmt w:val="bullet"/>
      <w:lvlText w:val="•"/>
      <w:lvlJc w:val="left"/>
      <w:pPr>
        <w:ind w:left="5194" w:hanging="284"/>
      </w:pPr>
      <w:rPr/>
    </w:lvl>
    <w:lvl w:ilvl="6">
      <w:start w:val="0"/>
      <w:numFmt w:val="bullet"/>
      <w:lvlText w:val="•"/>
      <w:lvlJc w:val="left"/>
      <w:pPr>
        <w:ind w:left="6140" w:hanging="284"/>
      </w:pPr>
      <w:rPr/>
    </w:lvl>
    <w:lvl w:ilvl="7">
      <w:start w:val="0"/>
      <w:numFmt w:val="bullet"/>
      <w:lvlText w:val="•"/>
      <w:lvlJc w:val="left"/>
      <w:pPr>
        <w:ind w:left="7086" w:hanging="284"/>
      </w:pPr>
      <w:rPr/>
    </w:lvl>
    <w:lvl w:ilvl="8">
      <w:start w:val="0"/>
      <w:numFmt w:val="bullet"/>
      <w:lvlText w:val="•"/>
      <w:lvlJc w:val="left"/>
      <w:pPr>
        <w:ind w:left="8032" w:hanging="283.9999999999991"/>
      </w:pPr>
      <w:rPr/>
    </w:lvl>
  </w:abstractNum>
  <w:abstractNum w:abstractNumId="4">
    <w:lvl w:ilvl="0">
      <w:start w:val="0"/>
      <w:numFmt w:val="bullet"/>
      <w:lvlText w:val="●"/>
      <w:lvlJc w:val="left"/>
      <w:pPr>
        <w:ind w:left="1080" w:hanging="360"/>
      </w:pPr>
      <w:rPr>
        <w:rFonts w:ascii="Noto Sans Symbols" w:cs="Noto Sans Symbols" w:eastAsia="Noto Sans Symbols" w:hAnsi="Noto Sans Symbols"/>
        <w:b w:val="1"/>
        <w:color w:val="00000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before="87" w:lineRule="auto"/>
      <w:ind w:left="140"/>
    </w:pPr>
    <w:rPr>
      <w:b w:val="1"/>
      <w:sz w:val="26"/>
      <w:szCs w:val="26"/>
    </w:rPr>
  </w:style>
  <w:style w:type="paragraph" w:styleId="Heading3">
    <w:name w:val="heading 3"/>
    <w:basedOn w:val="Normal"/>
    <w:next w:val="Normal"/>
    <w:pPr>
      <w:ind w:left="140"/>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90B0C"/>
    <w:pPr>
      <w:widowControl w:val="0"/>
      <w:autoSpaceDE w:val="0"/>
      <w:autoSpaceDN w:val="0"/>
    </w:pPr>
    <w:rPr>
      <w:rFonts w:ascii="Arial" w:cs="Arial" w:eastAsia="Arial" w:hAnsi="Arial"/>
      <w:kern w:val="0"/>
      <w:sz w:val="22"/>
      <w:szCs w:val="22"/>
    </w:rPr>
  </w:style>
  <w:style w:type="paragraph" w:styleId="Heading2">
    <w:name w:val="heading 2"/>
    <w:basedOn w:val="Normal"/>
    <w:link w:val="Heading2Char"/>
    <w:uiPriority w:val="9"/>
    <w:unhideWhenUsed w:val="1"/>
    <w:qFormat w:val="1"/>
    <w:rsid w:val="00290B0C"/>
    <w:pPr>
      <w:spacing w:before="87"/>
      <w:ind w:left="140"/>
      <w:outlineLvl w:val="1"/>
    </w:pPr>
    <w:rPr>
      <w:b w:val="1"/>
      <w:bCs w:val="1"/>
      <w:sz w:val="26"/>
      <w:szCs w:val="26"/>
    </w:rPr>
  </w:style>
  <w:style w:type="paragraph" w:styleId="Heading3">
    <w:name w:val="heading 3"/>
    <w:basedOn w:val="Normal"/>
    <w:link w:val="Heading3Char"/>
    <w:uiPriority w:val="9"/>
    <w:unhideWhenUsed w:val="1"/>
    <w:qFormat w:val="1"/>
    <w:rsid w:val="00290B0C"/>
    <w:pPr>
      <w:ind w:left="140"/>
      <w:outlineLvl w:val="2"/>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290B0C"/>
    <w:rPr>
      <w:rFonts w:ascii="Arial" w:cs="Arial" w:eastAsia="Arial" w:hAnsi="Arial"/>
      <w:b w:val="1"/>
      <w:bCs w:val="1"/>
      <w:kern w:val="0"/>
      <w:sz w:val="26"/>
      <w:szCs w:val="26"/>
    </w:rPr>
  </w:style>
  <w:style w:type="character" w:styleId="Heading3Char" w:customStyle="1">
    <w:name w:val="Heading 3 Char"/>
    <w:basedOn w:val="DefaultParagraphFont"/>
    <w:link w:val="Heading3"/>
    <w:uiPriority w:val="9"/>
    <w:rsid w:val="00290B0C"/>
    <w:rPr>
      <w:rFonts w:ascii="Arial" w:cs="Arial" w:eastAsia="Arial" w:hAnsi="Arial"/>
      <w:b w:val="1"/>
      <w:bCs w:val="1"/>
      <w:kern w:val="0"/>
      <w:sz w:val="22"/>
      <w:szCs w:val="22"/>
    </w:rPr>
  </w:style>
  <w:style w:type="paragraph" w:styleId="BodyText">
    <w:name w:val="Body Text"/>
    <w:basedOn w:val="Normal"/>
    <w:link w:val="BodyTextChar"/>
    <w:uiPriority w:val="1"/>
    <w:qFormat w:val="1"/>
    <w:rsid w:val="00290B0C"/>
  </w:style>
  <w:style w:type="character" w:styleId="BodyTextChar" w:customStyle="1">
    <w:name w:val="Body Text Char"/>
    <w:basedOn w:val="DefaultParagraphFont"/>
    <w:link w:val="BodyText"/>
    <w:uiPriority w:val="1"/>
    <w:rsid w:val="00290B0C"/>
    <w:rPr>
      <w:rFonts w:ascii="Arial" w:cs="Arial" w:eastAsia="Arial" w:hAnsi="Arial"/>
      <w:kern w:val="0"/>
      <w:sz w:val="22"/>
      <w:szCs w:val="22"/>
    </w:rPr>
  </w:style>
  <w:style w:type="paragraph" w:styleId="ListParagraph">
    <w:name w:val="List Paragraph"/>
    <w:basedOn w:val="Normal"/>
    <w:uiPriority w:val="1"/>
    <w:qFormat w:val="1"/>
    <w:rsid w:val="00290B0C"/>
    <w:pPr>
      <w:ind w:left="140"/>
    </w:pPr>
  </w:style>
  <w:style w:type="paragraph" w:styleId="TableParagraph" w:customStyle="1">
    <w:name w:val="Table Paragraph"/>
    <w:basedOn w:val="Normal"/>
    <w:uiPriority w:val="1"/>
    <w:qFormat w:val="1"/>
    <w:rsid w:val="00290B0C"/>
  </w:style>
  <w:style w:type="character" w:styleId="Hyperlink">
    <w:name w:val="Hyperlink"/>
    <w:basedOn w:val="DefaultParagraphFont"/>
    <w:uiPriority w:val="99"/>
    <w:unhideWhenUsed w:val="1"/>
    <w:rsid w:val="00290B0C"/>
    <w:rPr>
      <w:color w:val="0563c1" w:themeColor="hyperlink"/>
      <w:u w:val="single"/>
    </w:rPr>
  </w:style>
  <w:style w:type="character" w:styleId="UnresolvedMention">
    <w:name w:val="Unresolved Mention"/>
    <w:basedOn w:val="DefaultParagraphFont"/>
    <w:uiPriority w:val="99"/>
    <w:semiHidden w:val="1"/>
    <w:unhideWhenUsed w:val="1"/>
    <w:rsid w:val="00597303"/>
    <w:rPr>
      <w:color w:val="605e5c"/>
      <w:shd w:color="auto" w:fill="e1dfdd" w:val="clear"/>
    </w:rPr>
  </w:style>
  <w:style w:type="table" w:styleId="TableGrid">
    <w:name w:val="Table Grid"/>
    <w:basedOn w:val="TableNormal"/>
    <w:uiPriority w:val="39"/>
    <w:rsid w:val="00074F5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062BED"/>
    <w:rPr>
      <w:rFonts w:ascii="Arial" w:cs="Arial" w:eastAsia="Arial" w:hAnsi="Arial"/>
      <w:kern w:val="0"/>
      <w:sz w:val="22"/>
      <w:szCs w:val="22"/>
    </w:rPr>
  </w:style>
  <w:style w:type="character" w:styleId="CommentReference">
    <w:name w:val="annotation reference"/>
    <w:basedOn w:val="DefaultParagraphFont"/>
    <w:uiPriority w:val="99"/>
    <w:semiHidden w:val="1"/>
    <w:unhideWhenUsed w:val="1"/>
    <w:rsid w:val="00062BED"/>
    <w:rPr>
      <w:sz w:val="16"/>
      <w:szCs w:val="16"/>
    </w:rPr>
  </w:style>
  <w:style w:type="paragraph" w:styleId="CommentText">
    <w:name w:val="annotation text"/>
    <w:basedOn w:val="Normal"/>
    <w:link w:val="CommentTextChar"/>
    <w:uiPriority w:val="99"/>
    <w:semiHidden w:val="1"/>
    <w:unhideWhenUsed w:val="1"/>
    <w:rsid w:val="00062BED"/>
    <w:rPr>
      <w:sz w:val="20"/>
      <w:szCs w:val="20"/>
    </w:rPr>
  </w:style>
  <w:style w:type="character" w:styleId="CommentTextChar" w:customStyle="1">
    <w:name w:val="Comment Text Char"/>
    <w:basedOn w:val="DefaultParagraphFont"/>
    <w:link w:val="CommentText"/>
    <w:uiPriority w:val="99"/>
    <w:semiHidden w:val="1"/>
    <w:rsid w:val="00062BED"/>
    <w:rPr>
      <w:rFonts w:ascii="Arial" w:cs="Arial" w:eastAsia="Arial" w:hAnsi="Arial"/>
      <w:kern w:val="0"/>
      <w:sz w:val="20"/>
      <w:szCs w:val="20"/>
    </w:rPr>
  </w:style>
  <w:style w:type="paragraph" w:styleId="CommentSubject">
    <w:name w:val="annotation subject"/>
    <w:basedOn w:val="CommentText"/>
    <w:next w:val="CommentText"/>
    <w:link w:val="CommentSubjectChar"/>
    <w:uiPriority w:val="99"/>
    <w:semiHidden w:val="1"/>
    <w:unhideWhenUsed w:val="1"/>
    <w:rsid w:val="00062BED"/>
    <w:rPr>
      <w:b w:val="1"/>
      <w:bCs w:val="1"/>
    </w:rPr>
  </w:style>
  <w:style w:type="character" w:styleId="CommentSubjectChar" w:customStyle="1">
    <w:name w:val="Comment Subject Char"/>
    <w:basedOn w:val="CommentTextChar"/>
    <w:link w:val="CommentSubject"/>
    <w:uiPriority w:val="99"/>
    <w:semiHidden w:val="1"/>
    <w:rsid w:val="00062BED"/>
    <w:rPr>
      <w:rFonts w:ascii="Arial" w:cs="Arial" w:eastAsia="Arial" w:hAnsi="Arial"/>
      <w:b w:val="1"/>
      <w:bCs w:val="1"/>
      <w:kern w:val="0"/>
      <w:sz w:val="20"/>
      <w:szCs w:val="20"/>
    </w:rPr>
  </w:style>
  <w:style w:type="paragraph" w:styleId="BalloonText">
    <w:name w:val="Balloon Text"/>
    <w:basedOn w:val="Normal"/>
    <w:link w:val="BalloonTextChar"/>
    <w:uiPriority w:val="99"/>
    <w:semiHidden w:val="1"/>
    <w:unhideWhenUsed w:val="1"/>
    <w:rsid w:val="00062BE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62BED"/>
    <w:rPr>
      <w:rFonts w:ascii="Segoe UI" w:cs="Segoe UI" w:eastAsia="Arial" w:hAnsi="Segoe UI"/>
      <w:kern w:val="0"/>
      <w:sz w:val="18"/>
      <w:szCs w:val="18"/>
    </w:rPr>
  </w:style>
  <w:style w:type="character" w:styleId="FollowedHyperlink">
    <w:name w:val="FollowedHyperlink"/>
    <w:basedOn w:val="DefaultParagraphFont"/>
    <w:uiPriority w:val="99"/>
    <w:semiHidden w:val="1"/>
    <w:unhideWhenUsed w:val="1"/>
    <w:rsid w:val="00F514B7"/>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utahbar.org" TargetMode="External"/><Relationship Id="rId10" Type="http://schemas.openxmlformats.org/officeDocument/2006/relationships/hyperlink" Target="https://dcp.utah.gov" TargetMode="External"/><Relationship Id="rId9" Type="http://schemas.openxmlformats.org/officeDocument/2006/relationships/hyperlink" Target="https://dcp.utah.gov/wp-content/uploads/2023/01/background-check-consent-form.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cp.utah.gov/wp-content/uploads/2023/07/Surety-Bond-Form-2.pdf" TargetMode="External"/><Relationship Id="rId8" Type="http://schemas.openxmlformats.org/officeDocument/2006/relationships/hyperlink" Target="https://dcp.utah.gov/wp-content/uploads/2023/06/fingerprint-card-instruction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ixTfRjiHTNcGD7nXElIGAyjAIg==">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zgAciExOGJiOC0wS3FGLVFuMldlTndGVlcyMWRVUDMwWk9tR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2024-01-19T17:33:00Z</dcterms:created>
  <dc:creator>Andrea Mitton</dc:creator>
</cp:coreProperties>
</file>